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CF" w:rsidRDefault="00297FF1">
      <w:r>
        <w:t xml:space="preserve">               Фреска Смоленского собора Новодевичьего монастыря. Б3-20-007  20 кадров. 11. 1986 г.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>Смоленский собор. Интерьер.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>Фреска. Богоматерь Одигитрия Смоленская.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>Фреска. Воин Георгий.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>Фреска. Воин Меркурий.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>Фреска. Воин Андрей Стратилат.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>Фреска. Воин Андрей Стратилат.Фрагмент.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>Фреска. Князь Борис.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 xml:space="preserve">Фреска. Мария Египетская. 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>Фреска. Осада Константинополя.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>Фреска. Благовещение.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>Фреска. «Витии многовещенные…».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>Фреска «Богоматерь – свеча».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 xml:space="preserve">Фреска. Евангелист Лука пишет икону Богоматери. 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>Фреска. Приклонение иконе Богоматерь в Лидде.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>Фреска. Изгнание иконы Богоматери из Константинополя.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>Фреска. Плач Анны.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>Смоленский собор. Интерьер. Вид дьяконника.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>Фреска. Три отрока в печи огненной.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>Фреска. Иоанн Предтеча крылатый.</w:t>
      </w:r>
    </w:p>
    <w:p w:rsidR="00297FF1" w:rsidRDefault="00297FF1" w:rsidP="00297FF1">
      <w:pPr>
        <w:pStyle w:val="a3"/>
        <w:numPr>
          <w:ilvl w:val="0"/>
          <w:numId w:val="1"/>
        </w:numPr>
      </w:pPr>
      <w:r>
        <w:t>Фреска. Троица верхозаветная.</w:t>
      </w:r>
    </w:p>
    <w:sectPr w:rsidR="00297FF1" w:rsidSect="00A8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0DB9"/>
    <w:multiLevelType w:val="hybridMultilevel"/>
    <w:tmpl w:val="C0CA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297FF1"/>
    <w:rsid w:val="00297FF1"/>
    <w:rsid w:val="00A8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2013-10-21T18:22:00Z</dcterms:created>
  <dcterms:modified xsi:type="dcterms:W3CDTF">2013-10-21T18:39:00Z</dcterms:modified>
</cp:coreProperties>
</file>