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58" w:rsidRDefault="00974F37">
      <w:r>
        <w:t>Русская культура в 17 в. Б4-20-198 20 кадров.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Никольская церковь из села Спас.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Надвратная башня из Николо–Карельсколго монастыря.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Церковь Петра и Павла . 1605 г. Район Онежского озера.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 xml:space="preserve">Ансамбль Кижского погоста. (Начало </w:t>
      </w:r>
      <w:r>
        <w:rPr>
          <w:lang w:val="en-US"/>
        </w:rPr>
        <w:t>XVIII</w:t>
      </w:r>
      <w:r>
        <w:t xml:space="preserve"> века.)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Церковь Троицы в Никитниках. Москва.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Фасад Ткеремного дворца Московского Кремля. Фрагмент.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Теремной двлрец Московского Кремля. Интерьер.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Церковь Прокрова в Филях. 1693 г.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Ансамбль Новодевичьего монастыря.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Смимон Ушаков.. Богоматерь «Кикская» Фрагмент.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Симон Ушаков. Насаждение древа государства Российского. Фрагмент.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Неизвестный автор. Парсуна князя М. В. Скопина-Шуйского.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Неизвестный автор. Парсуна цароя Федр Иоановича.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Неизвестный автор. Парсуна царя Алексея Михайловича.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Апокалиптические всадники. Роспись стены церкви Троицы в Никитниках.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Пистолеты. Замки. Мастера Оружейной палаты.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Ружья. Дтали. Мастера Оружейной палаты.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Золотая чаша с эмалью.  1653 г. Оруженейная палата.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Ендова боярина Стрешнева. 1644 г. Оружейная палата.</w:t>
      </w:r>
    </w:p>
    <w:p w:rsidR="00974F37" w:rsidRDefault="00974F37" w:rsidP="00974F37">
      <w:pPr>
        <w:pStyle w:val="a3"/>
        <w:numPr>
          <w:ilvl w:val="0"/>
          <w:numId w:val="1"/>
        </w:numPr>
      </w:pPr>
      <w:r>
        <w:t>Золотой ковш царя Михаила федоровича.. 1618 г. Оружейная палата.</w:t>
      </w:r>
    </w:p>
    <w:sectPr w:rsidR="00974F37" w:rsidSect="00F1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6F28"/>
    <w:multiLevelType w:val="hybridMultilevel"/>
    <w:tmpl w:val="92F42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974F37"/>
    <w:rsid w:val="00974F37"/>
    <w:rsid w:val="00F1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2013-08-07T02:12:00Z</dcterms:created>
  <dcterms:modified xsi:type="dcterms:W3CDTF">2013-08-07T03:31:00Z</dcterms:modified>
</cp:coreProperties>
</file>